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color w:val="475569"/>
          <w:sz w:val="18"/>
          <w:szCs w:val="18"/>
        </w:rPr>
        <w:t xml:space="preserve">SAR-2025-0091 · Customer CUST-30814 · Status: REVIEWED</w:t>
      </w:r>
    </w:p>
    <w:p>
      <w:pPr>
        <w:pStyle w:val="Title"/>
        <w:jc w:val="center"/>
      </w:pPr>
      <w:r>
        <w:t xml:space="preserve">Suspicious Activity Report — Draft</w:t>
      </w:r>
    </w:p>
    <w:p/>
    <w:p>
      <w:r>
        <w:rPr>
          <w:b/>
          <w:bCs/>
        </w:rPr>
        <w:t xml:space="preserve">Filing Institution:</w:t>
      </w:r>
      <w:r>
        <w:t xml:space="preserve"> Zenith Bank Plc (pilot)  ·  </w:t>
      </w:r>
      <w:r>
        <w:rPr>
          <w:b/>
          <w:bCs/>
        </w:rPr>
        <w:t xml:space="preserve">Prepared by:</w:t>
      </w:r>
      <w:r>
        <w:t xml:space="preserve"> Omnivig Investigation System  ·  </w:t>
      </w:r>
      <w:r>
        <w:rPr>
          <w:b/>
          <w:bCs/>
        </w:rPr>
        <w:t xml:space="preserve">Status:</w:t>
      </w:r>
      <w:r>
        <w:t xml:space="preserve"> Draft, pending compliance officer review</w:t>
      </w:r>
    </w:p>
    <w:p/>
    <w:p/>
    <w:p/>
    <w:p>
      <w:pPr>
        <w:pStyle w:val="Heading2"/>
      </w:pPr>
      <w:r>
        <w:t xml:space="preserve">1. Subject Information Summary</w:t>
      </w:r>
    </w:p>
    <w:p/>
    <w:p>
      <w:r>
        <w:t xml:space="preserve">The subject is Adebayo Ogundimu, an individual account holder (account 3081447792), onboarded on 19 November 2024 </w:t>
      </w:r>
      <w:r>
        <w:rPr>
          <w:color w:val="1D4ED8"/>
          <w:rFonts w:ascii="Courier New" w:cs="Courier New" w:eastAsia="Courier New" w:hAnsi="Courier New"/>
        </w:rPr>
        <w:t xml:space="preserve">[EV-005]</w:t>
      </w:r>
      <w:r>
        <w:t xml:space="preserve">. The declared occupation is independent electronics trader operating in Computer Village, Ikeja, with a declared monthly turnover of ₦1,200,000 </w:t>
      </w:r>
      <w:r>
        <w:rPr>
          <w:color w:val="1D4ED8"/>
          <w:rFonts w:ascii="Courier New" w:cs="Courier New" w:eastAsia="Courier New" w:hAnsi="Courier New"/>
        </w:rPr>
        <w:t xml:space="preserve">[EV-005]</w:t>
      </w:r>
      <w:r>
        <w:t xml:space="preserve">. The source-of-funds record on file does not document any activity capable of generating the cash volume described below </w:t>
      </w:r>
      <w:r>
        <w:rPr>
          <w:color w:val="1D4ED8"/>
          <w:rFonts w:ascii="Courier New" w:cs="Courier New" w:eastAsia="Courier New" w:hAnsi="Courier New"/>
        </w:rPr>
        <w:t xml:space="preserve">[EV-006]</w:t>
      </w:r>
      <w:r>
        <w:t xml:space="preserve">.</w:t>
      </w:r>
    </w:p>
    <w:p/>
    <w:p>
      <w:pPr>
        <w:pStyle w:val="Heading2"/>
      </w:pPr>
      <w:r>
        <w:t xml:space="preserve">2. Account and Transaction Overview</w:t>
      </w:r>
    </w:p>
    <w:p/>
    <w:p>
      <w:r>
        <w:t xml:space="preserve">Between 2 April 2025 and 10 April 2025, the account received eleven cash deposits totalling ₦53,460,000 </w:t>
      </w:r>
      <w:r>
        <w:rPr>
          <w:color w:val="1D4ED8"/>
          <w:rFonts w:ascii="Courier New" w:cs="Courier New" w:eastAsia="Courier New" w:hAnsi="Courier New"/>
        </w:rPr>
        <w:t xml:space="preserve">[EV-003]</w:t>
      </w:r>
      <w:r>
        <w:t xml:space="preserve">. Each individual deposit fell between ₦4,600,000 and ₦4,990,000, remaining below the ₦5,000,000 Currency Transaction Report threshold </w:t>
      </w:r>
      <w:r>
        <w:rPr>
          <w:color w:val="1D4ED8"/>
          <w:rFonts w:ascii="Courier New" w:cs="Courier New" w:eastAsia="Courier New" w:hAnsi="Courier New"/>
        </w:rPr>
        <w:t xml:space="preserve">[EV-001]</w:t>
      </w:r>
      <w:r>
        <w:t xml:space="preserve"> </w:t>
      </w:r>
      <w:r>
        <w:rPr>
          <w:color w:val="1D4ED8"/>
          <w:rFonts w:ascii="Courier New" w:cs="Courier New" w:eastAsia="Courier New" w:hAnsi="Courier New"/>
        </w:rPr>
        <w:t xml:space="preserve">[EV-002]</w:t>
      </w:r>
      <w:r>
        <w:t xml:space="preserve">. On 11 April 2025 the account transmitted an outbound wire of ₦3,500,000 to Palmworth Ventures Ltd, an entity registered in the British Virgin Islands </w:t>
      </w:r>
      <w:r>
        <w:rPr>
          <w:color w:val="1D4ED8"/>
          <w:rFonts w:ascii="Courier New" w:cs="Courier New" w:eastAsia="Courier New" w:hAnsi="Courier New"/>
        </w:rPr>
        <w:t xml:space="preserve">[EV-004]</w:t>
      </w:r>
      <w:r>
        <w:t xml:space="preserve">.</w:t>
      </w:r>
    </w:p>
    <w:p/>
    <w:p>
      <w:pPr>
        <w:pStyle w:val="Heading2"/>
      </w:pPr>
      <w:r>
        <w:t xml:space="preserve">3. Description of Suspicious Activity</w:t>
      </w:r>
    </w:p>
    <w:p/>
    <w:p>
      <w:r>
        <w:t xml:space="preserve">The deposits display a clustering pattern immediately beneath the reporting threshold, including a single deposit of ₦4,990,000 representing 99.8% of the ₦5,000,000 threshold </w:t>
      </w:r>
      <w:r>
        <w:rPr>
          <w:color w:val="1D4ED8"/>
          <w:rFonts w:ascii="Courier New" w:cs="Courier New" w:eastAsia="Courier New" w:hAnsi="Courier New"/>
        </w:rPr>
        <w:t xml:space="preserve">[EV-002]</w:t>
      </w:r>
      <w:r>
        <w:t xml:space="preserve">. The deposits were placed across four separate branches (Ikeja, Surulere, Yaba, and Lekki) </w:t>
      </w:r>
      <w:r>
        <w:rPr>
          <w:color w:val="1D4ED8"/>
          <w:rFonts w:ascii="Courier New" w:cs="Courier New" w:eastAsia="Courier New" w:hAnsi="Courier New"/>
        </w:rPr>
        <w:t xml:space="preserve">[EV-008]</w:t>
      </w:r>
      <w:r>
        <w:t xml:space="preserve">, a dispersion pattern that reduces the likelihood of single-branch scrutiny. The declared monthly turnover of ₦1,200,000 cannot account for ₦53,460,000 deposited within nine days </w:t>
      </w:r>
      <w:r>
        <w:rPr>
          <w:color w:val="1D4ED8"/>
          <w:rFonts w:ascii="Courier New" w:cs="Courier New" w:eastAsia="Courier New" w:hAnsi="Courier New"/>
        </w:rPr>
        <w:t xml:space="preserve">[EV-005]</w:t>
      </w:r>
      <w:r>
        <w:t xml:space="preserve"> </w:t>
      </w:r>
      <w:r>
        <w:rPr>
          <w:color w:val="1D4ED8"/>
          <w:rFonts w:ascii="Courier New" w:cs="Courier New" w:eastAsia="Courier New" w:hAnsi="Courier New"/>
        </w:rPr>
        <w:t xml:space="preserve">[EV-006]</w:t>
      </w:r>
      <w:r>
        <w:t xml:space="preserve">. Two days after the deposit series concluded, the aggregated funds were partially transmitted offshore to a British Virgin Islands entity </w:t>
      </w:r>
      <w:r>
        <w:rPr>
          <w:color w:val="1D4ED8"/>
          <w:rFonts w:ascii="Courier New" w:cs="Courier New" w:eastAsia="Courier New" w:hAnsi="Courier New"/>
        </w:rPr>
        <w:t xml:space="preserve">[EV-004]</w:t>
      </w:r>
      <w:r>
        <w:t xml:space="preserve">.</w:t>
      </w:r>
    </w:p>
    <w:p/>
    <w:p>
      <w:pPr>
        <w:pStyle w:val="Heading2"/>
      </w:pPr>
      <w:r>
        <w:t xml:space="preserve">4. Connection to Known Typologies</w:t>
      </w:r>
    </w:p>
    <w:p/>
    <w:p>
      <w:r>
        <w:t xml:space="preserve">The conduct is consistent with structuring (smurfing) as described in FATF typologies concerning cash deposits below reporting thresholds </w:t>
      </w:r>
      <w:r>
        <w:rPr>
          <w:color w:val="1D4ED8"/>
          <w:rFonts w:ascii="Courier New" w:cs="Courier New" w:eastAsia="Courier New" w:hAnsi="Courier New"/>
        </w:rPr>
        <w:t xml:space="preserve">[EV-001]</w:t>
      </w:r>
      <w:r>
        <w:t xml:space="preserve"> </w:t>
      </w:r>
      <w:r>
        <w:rPr>
          <w:color w:val="1D4ED8"/>
          <w:rFonts w:ascii="Courier New" w:cs="Courier New" w:eastAsia="Courier New" w:hAnsi="Courier New"/>
        </w:rPr>
        <w:t xml:space="preserve">[EV-002]</w:t>
      </w:r>
      <w:r>
        <w:t xml:space="preserve"> </w:t>
      </w:r>
      <w:r>
        <w:rPr>
          <w:color w:val="1D4ED8"/>
          <w:rFonts w:ascii="Courier New" w:cs="Courier New" w:eastAsia="Courier New" w:hAnsi="Courier New"/>
        </w:rPr>
        <w:t xml:space="preserve">[EV-003]</w:t>
      </w:r>
      <w:r>
        <w:t xml:space="preserve">. The subsequent offshore transfer is consistent with layering through an offshore corporate vehicle </w:t>
      </w:r>
      <w:r>
        <w:rPr>
          <w:color w:val="1D4ED8"/>
          <w:rFonts w:ascii="Courier New" w:cs="Courier New" w:eastAsia="Courier New" w:hAnsi="Courier New"/>
        </w:rPr>
        <w:t xml:space="preserve">[EV-004]</w:t>
      </w:r>
      <w:r>
        <w:t xml:space="preserve">. The beneficiary entity matches Omnivig's internal offshore shell register at 0.72 confidence and has appeared in two prior unrelated cases </w:t>
      </w:r>
      <w:r>
        <w:rPr>
          <w:color w:val="1D4ED8"/>
          <w:rFonts w:ascii="Courier New" w:cs="Courier New" w:eastAsia="Courier New" w:hAnsi="Courier New"/>
        </w:rPr>
        <w:t xml:space="preserve">[EV-007]</w:t>
      </w:r>
      <w:r>
        <w:t xml:space="preserve">.</w:t>
      </w:r>
    </w:p>
    <w:p/>
    <w:p>
      <w:pPr>
        <w:pStyle w:val="Heading2"/>
      </w:pPr>
      <w:r>
        <w:t xml:space="preserve">5. Additional Context</w:t>
      </w:r>
    </w:p>
    <w:p/>
    <w:p>
      <w:r>
        <w:t xml:space="preserve">Two candidate findings raised during analysis, multi-branch dispersion considered in isolation and same-day deposit velocity, were reviewed adversarially and are not relied upon as independent grounds for this report. They are recorded here for completeness only </w:t>
      </w:r>
      <w:r>
        <w:rPr>
          <w:color w:val="1D4ED8"/>
          <w:rFonts w:ascii="Courier New" w:cs="Courier New" w:eastAsia="Courier New" w:hAnsi="Courier New"/>
        </w:rPr>
        <w:t xml:space="preserve">[EV-008]</w:t>
      </w:r>
      <w:r>
        <w:t xml:space="preserve">.</w:t>
      </w:r>
    </w:p>
    <w:p/>
    <w:p>
      <w:pPr>
        <w:pStyle w:val="Heading2"/>
      </w:pPr>
      <w:r>
        <w:t xml:space="preserve">6. Documentation Index</w:t>
      </w:r>
    </w:p>
    <w:p/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EV-001</w:t>
      </w:r>
      <w:r>
        <w:t xml:space="preserve"> — Transaction — Cash deposit ₦4,850,000, Ikeja Branch (TX-88401), 2 Apr 2025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EV-002</w:t>
      </w:r>
      <w:r>
        <w:t xml:space="preserve"> — Transaction — Cash deposit ₦4,990,000, 99.8% of threshold (TX-89340), 5 Apr 2025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EV-003</w:t>
      </w:r>
      <w:r>
        <w:t xml:space="preserve"> — Transaction — Eleven-deposit series totalling ₦53,460,000, 2–10 Apr 2025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EV-004</w:t>
      </w:r>
      <w:r>
        <w:t xml:space="preserve"> — Transaction — Outbound wire ₦3,500,000 to Palmworth Ventures Ltd (BVI) (TX-91888), 11 Apr 2025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EV-005</w:t>
      </w:r>
      <w:r>
        <w:t xml:space="preserve"> — KYC Document — Occupation declaration, electronics trader, ₦1.2M declared monthly turnover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EV-006</w:t>
      </w:r>
      <w:r>
        <w:t xml:space="preserve"> — KYC Document — Source-of-funds file, no support for deposited volume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EV-007</w:t>
      </w:r>
      <w:r>
        <w:t xml:space="preserve"> — Watchlist — Internal offshore shell register match, Palmworth Ventures Ltd (0.72)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EV-008</w:t>
      </w:r>
      <w:r>
        <w:t xml:space="preserve"> — Transaction — Deposits dispersed across four branches</w:t>
      </w:r>
    </w:p>
    <w:p/>
    <w:p/>
    <w:p>
      <w:r>
        <w:rPr>
          <w:i/>
          <w:iCs/>
          <w:color w:val="475569"/>
          <w:sz w:val="16"/>
          <w:szCs w:val="16"/>
        </w:rPr>
        <w:t xml:space="preserve">Generated by Omnivig. Draft for compliance officer review; not a filed report.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Suspicious Activity Report SAR-2025-0091</dc:title>
  <dc:creator>Omnivig</dc:creator>
  <cp:lastModifiedBy>Un-named</cp:lastModifiedBy>
  <cp:revision>1</cp:revision>
  <dcterms:created xsi:type="dcterms:W3CDTF">2026-10-27T20:17:57.518Z</dcterms:created>
  <dcterms:modified xsi:type="dcterms:W3CDTF">2026-10-27T20:17:57.519Z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